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pPr>
      <w:r w:rsidDel="00000000" w:rsidR="00000000" w:rsidRPr="00000000">
        <w:rPr>
          <w:rtl w:val="0"/>
        </w:rPr>
        <w:t xml:space="preserve">Pre-Kick-Off Meeting</w:t>
      </w:r>
    </w:p>
    <w:p w:rsidR="00000000" w:rsidDel="00000000" w:rsidP="00000000" w:rsidRDefault="00000000" w:rsidRPr="00000000" w14:paraId="00000002">
      <w:pPr>
        <w:spacing w:after="160" w:line="259" w:lineRule="auto"/>
        <w:jc w:val="center"/>
        <w:rPr/>
      </w:pPr>
      <w:r w:rsidDel="00000000" w:rsidR="00000000" w:rsidRPr="00000000">
        <w:rPr>
          <w:rtl w:val="0"/>
        </w:rPr>
        <w:t xml:space="preserve">4.12.2025</w:t>
      </w:r>
    </w:p>
    <w:p w:rsidR="00000000" w:rsidDel="00000000" w:rsidP="00000000" w:rsidRDefault="00000000" w:rsidRPr="00000000" w14:paraId="00000003">
      <w:pPr>
        <w:spacing w:after="160" w:line="259" w:lineRule="auto"/>
        <w:rPr/>
      </w:pPr>
      <w:r w:rsidDel="00000000" w:rsidR="00000000" w:rsidRPr="00000000">
        <w:rPr>
          <w:rtl w:val="0"/>
        </w:rPr>
      </w:r>
    </w:p>
    <w:p w:rsidR="00000000" w:rsidDel="00000000" w:rsidP="00000000" w:rsidRDefault="00000000" w:rsidRPr="00000000" w14:paraId="00000004">
      <w:pPr>
        <w:spacing w:after="160" w:line="259" w:lineRule="auto"/>
        <w:rPr/>
      </w:pPr>
      <w:r w:rsidDel="00000000" w:rsidR="00000000" w:rsidRPr="00000000">
        <w:rPr>
          <w:rtl w:val="0"/>
        </w:rPr>
        <w:t xml:space="preserve">During the online pre-kick-off meeting held on December 4, 2025, the consortium outlined key organizational and administrative foundations ahead of the project’s official launch. The discussion covered the draft partnership agreement and the core implementation strategy for WP2. Significant focus was placed on dissemination activities, including the upcoming rollout of official communication channels, visual templates, and the project website. Additionally, partner roles regarding quality assurance were defined to ensure smooth execution across all work packages.</w:t>
      </w:r>
    </w:p>
    <w:p w:rsidR="00000000" w:rsidDel="00000000" w:rsidP="00000000" w:rsidRDefault="00000000" w:rsidRPr="00000000" w14:paraId="00000005">
      <w:pPr>
        <w:spacing w:after="160" w:line="259" w:lineRule="auto"/>
        <w:rPr/>
      </w:pPr>
      <w:r w:rsidDel="00000000" w:rsidR="00000000" w:rsidRPr="00000000">
        <w:rPr>
          <w:rtl w:val="0"/>
        </w:rPr>
      </w:r>
    </w:p>
    <w:p w:rsidR="00000000" w:rsidDel="00000000" w:rsidP="00000000" w:rsidRDefault="00000000" w:rsidRPr="00000000" w14:paraId="00000006">
      <w:pPr>
        <w:rPr/>
      </w:pPr>
      <w:r w:rsidDel="00000000" w:rsidR="00000000" w:rsidRPr="00000000">
        <w:rPr/>
        <w:drawing>
          <wp:inline distB="114300" distT="114300" distL="114300" distR="114300">
            <wp:extent cx="5731200" cy="33528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33528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